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1FE84">
      <w:pPr>
        <w:tabs>
          <w:tab w:val="left" w:pos="8222"/>
        </w:tabs>
        <w:jc w:val="center"/>
        <w:rPr>
          <w:rFonts w:ascii="Calibri" w:hAnsi="Calibri" w:cs="Calibri"/>
          <w:b/>
          <w:i/>
          <w:sz w:val="32"/>
          <w:szCs w:val="28"/>
          <w:lang w:val="hr-HR"/>
        </w:rPr>
      </w:pPr>
      <w:r>
        <w:rPr>
          <w:rFonts w:ascii="Calibri" w:hAnsi="Calibri" w:cs="Calibri"/>
          <w:b/>
          <w:sz w:val="32"/>
          <w:szCs w:val="28"/>
          <w:lang w:val="hr-HR"/>
        </w:rPr>
        <w:t xml:space="preserve">TEME ZA ZAVRŠNI RAD:   </w:t>
      </w:r>
      <w:r>
        <w:rPr>
          <w:rFonts w:ascii="Calibri" w:hAnsi="Calibri" w:cs="Calibri"/>
          <w:b/>
          <w:i/>
          <w:sz w:val="32"/>
          <w:szCs w:val="28"/>
          <w:lang w:val="hr-HR"/>
        </w:rPr>
        <w:t>UPRAVNI  REFERENTI</w:t>
      </w:r>
    </w:p>
    <w:p w14:paraId="3CCDE776">
      <w:pPr>
        <w:jc w:val="center"/>
        <w:rPr>
          <w:rFonts w:ascii="Calibri" w:hAnsi="Calibri" w:cs="Calibri"/>
          <w:b/>
          <w:sz w:val="32"/>
          <w:szCs w:val="28"/>
          <w:lang w:val="hr-HR"/>
        </w:rPr>
      </w:pPr>
      <w:r>
        <w:rPr>
          <w:rFonts w:ascii="Calibri" w:hAnsi="Calibri" w:cs="Calibri"/>
          <w:b/>
          <w:sz w:val="32"/>
          <w:szCs w:val="28"/>
          <w:lang w:val="hr-HR"/>
        </w:rPr>
        <w:t>školska godina 202</w:t>
      </w:r>
      <w:r>
        <w:rPr>
          <w:rFonts w:hint="default" w:ascii="Calibri" w:hAnsi="Calibri" w:cs="Calibri"/>
          <w:b/>
          <w:sz w:val="32"/>
          <w:szCs w:val="28"/>
          <w:lang w:val="hr-HR"/>
        </w:rPr>
        <w:t>6</w:t>
      </w:r>
      <w:r>
        <w:rPr>
          <w:rFonts w:ascii="Calibri" w:hAnsi="Calibri" w:cs="Calibri"/>
          <w:b/>
          <w:sz w:val="32"/>
          <w:szCs w:val="28"/>
          <w:lang w:val="hr-HR"/>
        </w:rPr>
        <w:t>./202</w:t>
      </w:r>
      <w:r>
        <w:rPr>
          <w:rFonts w:hint="default" w:ascii="Calibri" w:hAnsi="Calibri" w:cs="Calibri"/>
          <w:b/>
          <w:sz w:val="32"/>
          <w:szCs w:val="28"/>
          <w:lang w:val="hr-HR"/>
        </w:rPr>
        <w:t>7</w:t>
      </w:r>
      <w:r>
        <w:rPr>
          <w:rFonts w:ascii="Calibri" w:hAnsi="Calibri" w:cs="Calibri"/>
          <w:b/>
          <w:sz w:val="32"/>
          <w:szCs w:val="28"/>
          <w:lang w:val="hr-HR"/>
        </w:rPr>
        <w:t>.</w:t>
      </w:r>
    </w:p>
    <w:p w14:paraId="159CC576">
      <w:pPr>
        <w:jc w:val="both"/>
        <w:rPr>
          <w:rFonts w:ascii="Calibri" w:hAnsi="Calibri" w:cs="Calibri"/>
          <w:b/>
          <w:i/>
          <w:sz w:val="28"/>
          <w:szCs w:val="28"/>
          <w:lang w:val="hr-HR"/>
        </w:rPr>
      </w:pPr>
    </w:p>
    <w:p w14:paraId="2573B565">
      <w:pPr>
        <w:jc w:val="both"/>
        <w:rPr>
          <w:rFonts w:ascii="Calibri" w:hAnsi="Calibri" w:cs="Calibri"/>
          <w:b/>
          <w:bCs/>
          <w:sz w:val="28"/>
          <w:szCs w:val="28"/>
          <w:lang w:val="hr-HR"/>
        </w:rPr>
      </w:pPr>
    </w:p>
    <w:p w14:paraId="11DD5EDE">
      <w:pPr>
        <w:jc w:val="both"/>
        <w:rPr>
          <w:rFonts w:ascii="Calibri" w:hAnsi="Calibri" w:cs="Calibri"/>
          <w:b/>
          <w:bCs/>
          <w:sz w:val="28"/>
          <w:szCs w:val="28"/>
          <w:lang w:val="hr-HR"/>
        </w:rPr>
      </w:pPr>
      <w:r>
        <w:rPr>
          <w:rFonts w:ascii="Calibri" w:hAnsi="Calibri" w:cs="Calibri"/>
          <w:b/>
          <w:bCs/>
          <w:sz w:val="28"/>
          <w:szCs w:val="28"/>
          <w:lang w:val="hr-HR"/>
        </w:rPr>
        <w:t>Predmeti: Upravni postupak, Uredsko poslovanje i dopisivanje</w:t>
      </w:r>
    </w:p>
    <w:p w14:paraId="3E0E683B">
      <w:pPr>
        <w:jc w:val="both"/>
        <w:rPr>
          <w:rFonts w:ascii="Calibri" w:hAnsi="Calibri" w:cs="Calibri"/>
          <w:b/>
          <w:bCs/>
          <w:sz w:val="28"/>
          <w:szCs w:val="28"/>
          <w:lang w:val="hr-HR"/>
        </w:rPr>
      </w:pPr>
      <w:r>
        <w:rPr>
          <w:rFonts w:ascii="Calibri" w:hAnsi="Calibri" w:cs="Calibri"/>
          <w:b/>
          <w:bCs/>
          <w:sz w:val="28"/>
          <w:szCs w:val="28"/>
          <w:lang w:val="hr-HR"/>
        </w:rPr>
        <w:t>Mentori: Vilson</w:t>
      </w:r>
      <w:r>
        <w:rPr>
          <w:rFonts w:hint="default" w:ascii="Calibri" w:hAnsi="Calibri" w:cs="Calibri"/>
          <w:b/>
          <w:bCs/>
          <w:sz w:val="28"/>
          <w:szCs w:val="28"/>
          <w:lang w:val="hr-HR"/>
        </w:rPr>
        <w:t xml:space="preserve"> </w:t>
      </w:r>
      <w:r>
        <w:rPr>
          <w:rFonts w:ascii="Calibri" w:hAnsi="Calibri" w:cs="Calibri"/>
          <w:b/>
          <w:bCs/>
          <w:sz w:val="28"/>
          <w:szCs w:val="28"/>
          <w:lang w:val="hr-HR"/>
        </w:rPr>
        <w:t>Nićin</w:t>
      </w:r>
      <w:r>
        <w:rPr>
          <w:rFonts w:hint="default" w:ascii="Calibri" w:hAnsi="Calibri" w:cs="Calibri"/>
          <w:b/>
          <w:bCs/>
          <w:sz w:val="28"/>
          <w:szCs w:val="28"/>
          <w:lang w:val="hr-HR"/>
        </w:rPr>
        <w:t xml:space="preserve"> </w:t>
      </w:r>
      <w:bookmarkStart w:id="0" w:name="_GoBack"/>
      <w:bookmarkEnd w:id="0"/>
      <w:r>
        <w:rPr>
          <w:rFonts w:ascii="Calibri" w:hAnsi="Calibri" w:cs="Calibri"/>
          <w:b/>
          <w:bCs/>
          <w:sz w:val="28"/>
          <w:szCs w:val="28"/>
          <w:lang w:val="hr-HR"/>
        </w:rPr>
        <w:t>dipl. iur., Hrvoje Biuklić, dipl.iur., Karolina Vencl  Livazović, mag.iur, Kristina Nadj, mag.iur.</w:t>
      </w:r>
    </w:p>
    <w:p w14:paraId="15017F59">
      <w:pPr>
        <w:jc w:val="both"/>
        <w:rPr>
          <w:rFonts w:ascii="Calibri" w:hAnsi="Calibri" w:cs="Calibri"/>
          <w:b/>
          <w:bCs/>
          <w:sz w:val="28"/>
          <w:szCs w:val="28"/>
          <w:lang w:val="hr-HR"/>
        </w:rPr>
      </w:pPr>
    </w:p>
    <w:p w14:paraId="730916C6">
      <w:pPr>
        <w:jc w:val="both"/>
        <w:rPr>
          <w:rFonts w:ascii="Calibri" w:hAnsi="Calibri" w:cs="Calibri"/>
          <w:b/>
          <w:bCs/>
          <w:sz w:val="28"/>
          <w:szCs w:val="28"/>
          <w:lang w:val="hr-HR"/>
        </w:rPr>
      </w:pPr>
    </w:p>
    <w:p w14:paraId="3F01B363">
      <w:pPr>
        <w:jc w:val="both"/>
        <w:rPr>
          <w:rFonts w:ascii="Calibri" w:hAnsi="Calibri" w:cs="Calibri"/>
          <w:i/>
          <w:iCs/>
          <w:sz w:val="28"/>
          <w:szCs w:val="28"/>
          <w:lang w:val="hr-HR"/>
        </w:rPr>
      </w:pPr>
      <w:r>
        <w:rPr>
          <w:rFonts w:ascii="Calibri" w:hAnsi="Calibri" w:cs="Calibri"/>
          <w:i/>
          <w:iCs/>
          <w:sz w:val="28"/>
          <w:szCs w:val="28"/>
          <w:lang w:val="hr-HR"/>
        </w:rPr>
        <w:t>I. PRIMJENA UPRAVNOG POSTUPKA U TIJELIMA DRŽAVNE UPRAVE</w:t>
      </w:r>
    </w:p>
    <w:p w14:paraId="43989E40">
      <w:pPr>
        <w:jc w:val="both"/>
        <w:rPr>
          <w:rFonts w:ascii="Calibri" w:hAnsi="Calibri" w:cs="Calibri"/>
          <w:i/>
          <w:iCs/>
          <w:sz w:val="28"/>
          <w:szCs w:val="28"/>
          <w:lang w:val="hr-HR"/>
        </w:rPr>
      </w:pPr>
    </w:p>
    <w:p w14:paraId="52D01F6A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1. FINANCIJE</w:t>
      </w:r>
    </w:p>
    <w:p w14:paraId="13566A09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757E9BC8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kupoprodaju</w:t>
      </w:r>
    </w:p>
    <w:p w14:paraId="57A23A36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utvrđivanju poreza na promet nekretnina</w:t>
      </w:r>
    </w:p>
    <w:p w14:paraId="2FB1FC2E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dohodak</w:t>
      </w:r>
    </w:p>
    <w:p w14:paraId="71260F6B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dodanu vrijednost</w:t>
      </w:r>
    </w:p>
    <w:p w14:paraId="54C7DF34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nasljedstvo i darove</w:t>
      </w:r>
    </w:p>
    <w:p w14:paraId="6208776B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po godišnjoj poreznoj prijavi građana</w:t>
      </w:r>
    </w:p>
    <w:p w14:paraId="7651A911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cestovna motorna vozila</w:t>
      </w:r>
    </w:p>
    <w:p w14:paraId="1FC1F18B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plovila</w:t>
      </w:r>
    </w:p>
    <w:p w14:paraId="60B05A36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kuće za odmor</w:t>
      </w:r>
    </w:p>
    <w:p w14:paraId="270BABB0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porezu na korištenje javne površine</w:t>
      </w:r>
    </w:p>
    <w:p w14:paraId="184D89A6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prisilnoj naplati poreza</w:t>
      </w:r>
    </w:p>
    <w:p w14:paraId="703B9284">
      <w:pPr>
        <w:pStyle w:val="5"/>
        <w:numPr>
          <w:ilvl w:val="1"/>
          <w:numId w:val="1"/>
        </w:num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prisilnoj naplati komunalne naknade</w:t>
      </w:r>
    </w:p>
    <w:p w14:paraId="2AC79286">
      <w:pPr>
        <w:ind w:left="720" w:hanging="720"/>
        <w:jc w:val="both"/>
        <w:rPr>
          <w:rFonts w:ascii="Calibri" w:hAnsi="Calibri" w:cs="Calibri"/>
          <w:sz w:val="28"/>
          <w:szCs w:val="28"/>
          <w:lang w:val="hr-HR"/>
        </w:rPr>
      </w:pPr>
    </w:p>
    <w:p w14:paraId="4A07750B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78851F77">
      <w:pPr>
        <w:pStyle w:val="5"/>
        <w:numPr>
          <w:ilvl w:val="0"/>
          <w:numId w:val="1"/>
        </w:num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GRADITELJSTVO I STAMBENO – KOMUNALNE DJELATNOSTI</w:t>
      </w:r>
    </w:p>
    <w:p w14:paraId="590AEFF4">
      <w:pPr>
        <w:pStyle w:val="5"/>
        <w:ind w:left="495"/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6541C58E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Građevinska dozvola</w:t>
      </w:r>
    </w:p>
    <w:p w14:paraId="0F976072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Lokacijska dozvola</w:t>
      </w:r>
    </w:p>
    <w:p w14:paraId="5316520D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Uporabna dozvola</w:t>
      </w:r>
    </w:p>
    <w:p w14:paraId="6ACEECB6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obustavi gradnje</w:t>
      </w:r>
    </w:p>
    <w:p w14:paraId="5C5AE843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rušenju objekta</w:t>
      </w:r>
    </w:p>
    <w:p w14:paraId="493673C9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izvlaštenju zemljišta</w:t>
      </w:r>
    </w:p>
    <w:p w14:paraId="5F3F9FE1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Građevinska dozvola za rekonstrukciju objekta</w:t>
      </w:r>
    </w:p>
    <w:p w14:paraId="5A482E0C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procjeni utjecaja na okoliš</w:t>
      </w:r>
    </w:p>
    <w:p w14:paraId="30E16912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povratu nacionalizirane imovine</w:t>
      </w:r>
    </w:p>
    <w:p w14:paraId="43713305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komunalnom redu</w:t>
      </w:r>
    </w:p>
    <w:p w14:paraId="225135EA">
      <w:pPr>
        <w:pStyle w:val="5"/>
        <w:numPr>
          <w:ilvl w:val="1"/>
          <w:numId w:val="2"/>
        </w:numPr>
        <w:ind w:left="72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promjeni ku</w:t>
      </w:r>
      <w:r>
        <w:rPr>
          <w:rFonts w:ascii="Calibri" w:hAnsi="Calibri" w:eastAsia="TimesNewRoman" w:cs="Calibri"/>
          <w:sz w:val="28"/>
          <w:szCs w:val="28"/>
          <w:lang w:val="hr-HR"/>
        </w:rPr>
        <w:t>ć</w:t>
      </w:r>
      <w:r>
        <w:rPr>
          <w:rFonts w:ascii="Calibri" w:hAnsi="Calibri" w:cs="Calibri"/>
          <w:sz w:val="28"/>
          <w:szCs w:val="28"/>
          <w:lang w:val="hr-HR"/>
        </w:rPr>
        <w:t>nog broja</w:t>
      </w:r>
    </w:p>
    <w:p w14:paraId="206E3ED5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3. GOSPODARSTVO</w:t>
      </w:r>
    </w:p>
    <w:p w14:paraId="780E1AB3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716DBB41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upisu udruge u registar</w:t>
      </w:r>
    </w:p>
    <w:p w14:paraId="1C905429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izdavanju dozvole za objavljivanje samostalne djelatnosti</w:t>
      </w:r>
    </w:p>
    <w:p w14:paraId="3DEB8B15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brisanju iz registra</w:t>
      </w:r>
    </w:p>
    <w:p w14:paraId="7632DE3F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privremenoj obustavi obrta i o prekidu privremene obustave     obrta</w:t>
      </w:r>
    </w:p>
    <w:p w14:paraId="64EBA443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 xml:space="preserve">Rješenje o upisu obrta u obrtni registar </w:t>
      </w:r>
    </w:p>
    <w:p w14:paraId="5F290524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upisu u obrtni registar ugostiteljskog objekta</w:t>
      </w:r>
    </w:p>
    <w:p w14:paraId="426D84EC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upisu u obrtni registar frizerskog salona</w:t>
      </w:r>
    </w:p>
    <w:p w14:paraId="4CE1E462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postupku dobivanja koncesije za obavljanje javne službe</w:t>
      </w:r>
    </w:p>
    <w:p w14:paraId="59AFAEF5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komunalnoj naknadi za stambeni prostor</w:t>
      </w:r>
    </w:p>
    <w:p w14:paraId="08DF72F9">
      <w:pPr>
        <w:pStyle w:val="5"/>
        <w:numPr>
          <w:ilvl w:val="0"/>
          <w:numId w:val="3"/>
        </w:numPr>
        <w:ind w:left="0" w:firstLine="0"/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Rješenje o komunalnoj naknadi za poslovni prostor</w:t>
      </w:r>
    </w:p>
    <w:p w14:paraId="49B84CF8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2EDAA8AE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083AD116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4. OP</w:t>
      </w:r>
      <w:r>
        <w:rPr>
          <w:rFonts w:ascii="Calibri" w:hAnsi="Calibri" w:eastAsia="TimesNewRoman" w:cs="Calibri"/>
          <w:b/>
          <w:sz w:val="28"/>
          <w:szCs w:val="28"/>
          <w:lang w:val="hr-HR"/>
        </w:rPr>
        <w:t>Ć</w:t>
      </w:r>
      <w:r>
        <w:rPr>
          <w:rFonts w:ascii="Calibri" w:hAnsi="Calibri" w:cs="Calibri"/>
          <w:b/>
          <w:sz w:val="28"/>
          <w:szCs w:val="28"/>
          <w:lang w:val="hr-HR"/>
        </w:rPr>
        <w:t>A UPRAVA</w:t>
      </w:r>
    </w:p>
    <w:p w14:paraId="233C42A8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06B0B68C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4.1. Rješenje o promjeni osobnog imena</w:t>
      </w:r>
    </w:p>
    <w:p w14:paraId="73086343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 xml:space="preserve">4.2. Rješenje o naknadnom upisu </w:t>
      </w:r>
      <w:r>
        <w:rPr>
          <w:rFonts w:ascii="Calibri" w:hAnsi="Calibri" w:eastAsia="TimesNewRoman" w:cs="Calibri"/>
          <w:sz w:val="28"/>
          <w:szCs w:val="28"/>
          <w:lang w:val="hr-HR"/>
        </w:rPr>
        <w:t>č</w:t>
      </w:r>
      <w:r>
        <w:rPr>
          <w:rFonts w:ascii="Calibri" w:hAnsi="Calibri" w:cs="Calibri"/>
          <w:sz w:val="28"/>
          <w:szCs w:val="28"/>
          <w:lang w:val="hr-HR"/>
        </w:rPr>
        <w:t>injenica u mati</w:t>
      </w:r>
      <w:r>
        <w:rPr>
          <w:rFonts w:ascii="Calibri" w:hAnsi="Calibri" w:eastAsia="TimesNewRoman" w:cs="Calibri"/>
          <w:sz w:val="28"/>
          <w:szCs w:val="28"/>
          <w:lang w:val="hr-HR"/>
        </w:rPr>
        <w:t>č</w:t>
      </w:r>
      <w:r>
        <w:rPr>
          <w:rFonts w:ascii="Calibri" w:hAnsi="Calibri" w:cs="Calibri"/>
          <w:sz w:val="28"/>
          <w:szCs w:val="28"/>
          <w:lang w:val="hr-HR"/>
        </w:rPr>
        <w:t>ne knjige</w:t>
      </w:r>
    </w:p>
    <w:p w14:paraId="4C40B438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4.3. Rješenje o ispravcima i dopunama podataka u mati</w:t>
      </w:r>
      <w:r>
        <w:rPr>
          <w:rFonts w:ascii="Calibri" w:hAnsi="Calibri" w:eastAsia="TimesNewRoman" w:cs="Calibri"/>
          <w:sz w:val="28"/>
          <w:szCs w:val="28"/>
          <w:lang w:val="hr-HR"/>
        </w:rPr>
        <w:t>č</w:t>
      </w:r>
      <w:r>
        <w:rPr>
          <w:rFonts w:ascii="Calibri" w:hAnsi="Calibri" w:cs="Calibri"/>
          <w:sz w:val="28"/>
          <w:szCs w:val="28"/>
          <w:lang w:val="hr-HR"/>
        </w:rPr>
        <w:t>nim knjigama</w:t>
      </w:r>
    </w:p>
    <w:p w14:paraId="5AFE4F0B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4.4. Izdavanje domovnice</w:t>
      </w:r>
    </w:p>
    <w:p w14:paraId="73AB36DB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4.5. Izdavanje rodnog lista</w:t>
      </w:r>
    </w:p>
    <w:p w14:paraId="02572EBE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4.6. Izdavanje vjenčanog lista</w:t>
      </w:r>
    </w:p>
    <w:p w14:paraId="06470BA2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4.7. Izdavanje smrtnog lista</w:t>
      </w:r>
    </w:p>
    <w:p w14:paraId="443E770E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3FC54A97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6B7B7127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5. UNUTARNJI POSLOVI</w:t>
      </w:r>
    </w:p>
    <w:p w14:paraId="0D044ED3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24F5584E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5.1. Rješenje o oduzimanju putne isprave</w:t>
      </w:r>
    </w:p>
    <w:p w14:paraId="5546949A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5.2. Rješenje o protjerivanju stranaca iz zemlje</w:t>
      </w:r>
    </w:p>
    <w:p w14:paraId="7B1B09DF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5.3. Rješenje o oduzimanju oružja i  streljiva</w:t>
      </w:r>
    </w:p>
    <w:p w14:paraId="0EEAEB62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5.4. Rješenje o odjavi prebivališta</w:t>
      </w:r>
    </w:p>
    <w:p w14:paraId="2095795A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5.5. Stjecanje hrvatskog državljanstva</w:t>
      </w:r>
    </w:p>
    <w:p w14:paraId="2AC8FAFF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5.6. Odobrenje za nabavu oružja</w:t>
      </w:r>
    </w:p>
    <w:p w14:paraId="2A1CEA31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5.7. Izdavanje osobne iskaznice</w:t>
      </w:r>
    </w:p>
    <w:p w14:paraId="09CF3C0E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5.8. Izdavanju osobne iskaznice maloljetnim osobama</w:t>
      </w:r>
    </w:p>
    <w:p w14:paraId="4D5A1EEE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5.9. Izdavanje putovnice</w:t>
      </w:r>
    </w:p>
    <w:p w14:paraId="6C7E3AE1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 xml:space="preserve">5.10. Izdavanju putovnice maloljetnim osobama </w:t>
      </w:r>
    </w:p>
    <w:p w14:paraId="347D49F5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5.11. Izdavanje vozačke dozvole</w:t>
      </w:r>
    </w:p>
    <w:p w14:paraId="49C982B3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5.12. Dozvola za boravak i rad državljanina treće zemlje u Republici Hrvatskoj</w:t>
      </w:r>
    </w:p>
    <w:p w14:paraId="6F75F552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 xml:space="preserve">5.13. Odobrenje strancima za privremeni boravak u Republici Hrvatskoj </w:t>
      </w:r>
    </w:p>
    <w:p w14:paraId="7ED279FE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5.14. Odobrenje strancima za stalni boravak u Republici Hrvatskoj</w:t>
      </w:r>
    </w:p>
    <w:p w14:paraId="2BD68139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5.15. Rješenje o otpustu iz hrvatskog državljanstva</w:t>
      </w:r>
    </w:p>
    <w:p w14:paraId="2484E44A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346BADAF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6. INSPEKCIJSKI POSLOVI</w:t>
      </w:r>
    </w:p>
    <w:p w14:paraId="665215B6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240E4C2C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6.1. Rješenje o uklanjanju nedostataka u poljoprivrednoj djelatnosti</w:t>
      </w:r>
    </w:p>
    <w:p w14:paraId="399CE161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6.2. Rješenje o uklanjanju nedostataka u ugostiteljskoj radnji</w:t>
      </w:r>
    </w:p>
    <w:p w14:paraId="35CE607B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6.3. Rješenje o uklanjanju nedostataka u sanitarnom djelokrugu</w:t>
      </w:r>
    </w:p>
    <w:p w14:paraId="57A56AD7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6.4. Rješenje o uklanjanju nedostataka u veterinarskoj djelatnosti</w:t>
      </w:r>
    </w:p>
    <w:p w14:paraId="34BFA6C9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6.5. Rješenje o nepropisnom odlaganju otpada</w:t>
      </w:r>
    </w:p>
    <w:p w14:paraId="55552259">
      <w:pPr>
        <w:jc w:val="both"/>
        <w:rPr>
          <w:rFonts w:ascii="Calibri" w:hAnsi="Calibri" w:cs="Calibri"/>
          <w:sz w:val="20"/>
          <w:szCs w:val="28"/>
          <w:lang w:val="hr-HR"/>
        </w:rPr>
      </w:pPr>
    </w:p>
    <w:p w14:paraId="09A4AD16">
      <w:pPr>
        <w:jc w:val="both"/>
        <w:rPr>
          <w:rFonts w:ascii="Calibri" w:hAnsi="Calibri" w:cs="Calibri"/>
          <w:sz w:val="20"/>
          <w:szCs w:val="28"/>
          <w:lang w:val="hr-HR"/>
        </w:rPr>
      </w:pPr>
    </w:p>
    <w:p w14:paraId="03F00EF2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7. CARINSKI POSLOVI</w:t>
      </w:r>
    </w:p>
    <w:p w14:paraId="0520F46E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42301384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7.1. Rješenje u carinskom postupku</w:t>
      </w:r>
    </w:p>
    <w:p w14:paraId="0219AA3F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7.2. Carinski postupak u prijevozu</w:t>
      </w:r>
    </w:p>
    <w:p w14:paraId="09B803A6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10973481">
      <w:pPr>
        <w:jc w:val="both"/>
        <w:rPr>
          <w:rFonts w:ascii="Calibri" w:hAnsi="Calibri" w:cs="Calibri"/>
          <w:sz w:val="20"/>
          <w:szCs w:val="28"/>
          <w:lang w:val="hr-HR"/>
        </w:rPr>
      </w:pPr>
    </w:p>
    <w:p w14:paraId="3A1D9B4D">
      <w:pPr>
        <w:jc w:val="both"/>
        <w:rPr>
          <w:rFonts w:ascii="Calibri" w:hAnsi="Calibri" w:cs="Calibri"/>
          <w:sz w:val="20"/>
          <w:szCs w:val="28"/>
          <w:lang w:val="hr-HR"/>
        </w:rPr>
      </w:pPr>
    </w:p>
    <w:p w14:paraId="4B8DAFC6">
      <w:pPr>
        <w:jc w:val="both"/>
        <w:rPr>
          <w:rFonts w:ascii="Calibri" w:hAnsi="Calibri" w:cs="Calibri"/>
          <w:i/>
          <w:iCs/>
          <w:sz w:val="28"/>
          <w:szCs w:val="28"/>
          <w:lang w:val="hr-HR"/>
        </w:rPr>
      </w:pPr>
      <w:r>
        <w:rPr>
          <w:rFonts w:ascii="Calibri" w:hAnsi="Calibri" w:cs="Calibri"/>
          <w:i/>
          <w:iCs/>
          <w:sz w:val="28"/>
          <w:szCs w:val="28"/>
          <w:lang w:val="hr-HR"/>
        </w:rPr>
        <w:br w:type="page"/>
      </w:r>
      <w:r>
        <w:rPr>
          <w:rFonts w:ascii="Calibri" w:hAnsi="Calibri" w:cs="Calibri"/>
          <w:i/>
          <w:iCs/>
          <w:sz w:val="28"/>
          <w:szCs w:val="28"/>
          <w:lang w:val="hr-HR"/>
        </w:rPr>
        <w:t>II. PRIMJENA UPRAVNOG POSTUPKA U PRAVNIM OSOBAMA S JAVNIM OVLASTIMA</w:t>
      </w:r>
    </w:p>
    <w:p w14:paraId="0BF73243">
      <w:pPr>
        <w:jc w:val="both"/>
        <w:rPr>
          <w:rFonts w:ascii="Calibri" w:hAnsi="Calibri" w:cs="Calibri"/>
          <w:i/>
          <w:iCs/>
          <w:sz w:val="20"/>
          <w:szCs w:val="28"/>
          <w:lang w:val="hr-HR"/>
        </w:rPr>
      </w:pPr>
    </w:p>
    <w:p w14:paraId="77A5EBE5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1. ZDRAVSTVENO I MIROVINSKO OSIGURANJE</w:t>
      </w:r>
    </w:p>
    <w:p w14:paraId="12D3DDBA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11EDAEDB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1.1. Rješenje o priznanju prava na starosnu mirovinu</w:t>
      </w:r>
    </w:p>
    <w:p w14:paraId="13BE4A62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1.2. Rješenje o priznanju prava na obiteljsku mirovinu</w:t>
      </w:r>
    </w:p>
    <w:p w14:paraId="2914D913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1.3. Rješenje o priznavanju prava na invalidsku mirovinu</w:t>
      </w:r>
    </w:p>
    <w:p w14:paraId="7990E95F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1.4. Rješenje o pravu na mirovinsko osiguranje za vrijeme nezaposlenosti</w:t>
      </w:r>
    </w:p>
    <w:p w14:paraId="32BD36D9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1.5. Odobrenje za ortopedska i druga pomagala</w:t>
      </w:r>
    </w:p>
    <w:p w14:paraId="6E070478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1.6. Rješenje o pravu na subvenciju lijekova</w:t>
      </w:r>
    </w:p>
    <w:p w14:paraId="0CF0D7C0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1.7. Rješenje o pravu na rad u skraćenom radnom vremenu radi pojačane brige i njege djeteta</w:t>
      </w:r>
    </w:p>
    <w:p w14:paraId="5801E7B0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1.8. Rješenje o pravu na doplatak za djecu</w:t>
      </w:r>
    </w:p>
    <w:p w14:paraId="201EF463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270AD436">
      <w:pPr>
        <w:jc w:val="both"/>
        <w:rPr>
          <w:rFonts w:ascii="Calibri" w:hAnsi="Calibri" w:cs="Calibri"/>
          <w:sz w:val="18"/>
          <w:szCs w:val="28"/>
          <w:lang w:val="hr-HR"/>
        </w:rPr>
      </w:pPr>
    </w:p>
    <w:p w14:paraId="7A28BF28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2. SOCIJALNA SKRB</w:t>
      </w:r>
    </w:p>
    <w:p w14:paraId="024AE3E1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003C15A1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2.1. Rješenje o imenovanju skrbnika</w:t>
      </w:r>
    </w:p>
    <w:p w14:paraId="61C37D4E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2.2. Rješenje o imenovanju posebnog skrbnika</w:t>
      </w:r>
    </w:p>
    <w:p w14:paraId="3831B177">
      <w:pPr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 xml:space="preserve">2.3. Rješenje o oduzimanju prava roditeljima na stanovanje s djetetom i povjeravanje svakodnevne skrbi o djetetu drugoj osobi, udomiteljskoj obitelji ili ustanovi socijalne skrbi </w:t>
      </w:r>
    </w:p>
    <w:p w14:paraId="450AE2C6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2.4. Rješenje o priznavanju prava na smještaj odrasle osobe u dom za starije i nemoćne osobe</w:t>
      </w:r>
    </w:p>
    <w:p w14:paraId="5FCA3F63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2.5. Rješenje o priznavanju prava na smještaj djeteta u udomiteljsku obitelj</w:t>
      </w:r>
    </w:p>
    <w:p w14:paraId="5CA54A6F">
      <w:pPr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2.6. Rješenje o priznavanju prava na smještaj odrasle osobe u udomiteljsku obitelj</w:t>
      </w:r>
    </w:p>
    <w:p w14:paraId="19EEE90B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2.7. Rješenje o priznavanju prava na zajamčenu minimalnu naknadu</w:t>
      </w:r>
    </w:p>
    <w:p w14:paraId="7179FBB1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2.8. Rješenje o priznavanju prava na jednokratnu naknadu</w:t>
      </w:r>
    </w:p>
    <w:p w14:paraId="29E775B6">
      <w:pPr>
        <w:jc w:val="both"/>
        <w:rPr>
          <w:rFonts w:ascii="Calibri" w:hAnsi="Calibri" w:eastAsia="TimesNewRoman" w:cs="Calibri"/>
          <w:sz w:val="28"/>
          <w:szCs w:val="28"/>
          <w:lang w:val="hr-HR"/>
        </w:rPr>
      </w:pPr>
      <w:r>
        <w:rPr>
          <w:rFonts w:ascii="Calibri" w:hAnsi="Calibri" w:eastAsia="TimesNewRoman" w:cs="Calibri"/>
          <w:sz w:val="28"/>
          <w:szCs w:val="28"/>
          <w:lang w:val="hr-HR"/>
        </w:rPr>
        <w:t>2.9. Rješenje o priznavanju prava na inkluzivni dodatak</w:t>
      </w:r>
    </w:p>
    <w:p w14:paraId="0FC8222D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19431372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46F5966B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1416C90B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  <w:r>
        <w:rPr>
          <w:rFonts w:ascii="Calibri" w:hAnsi="Calibri" w:cs="Calibri"/>
          <w:b/>
          <w:sz w:val="28"/>
          <w:szCs w:val="28"/>
          <w:lang w:val="hr-HR"/>
        </w:rPr>
        <w:t>Dodatne teme:</w:t>
      </w:r>
    </w:p>
    <w:p w14:paraId="16CE23A2">
      <w:pPr>
        <w:jc w:val="both"/>
        <w:rPr>
          <w:rFonts w:ascii="Calibri" w:hAnsi="Calibri" w:cs="Calibri"/>
          <w:b/>
          <w:sz w:val="28"/>
          <w:szCs w:val="28"/>
          <w:lang w:val="hr-HR"/>
        </w:rPr>
      </w:pPr>
    </w:p>
    <w:p w14:paraId="4505AF72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1. Komuniciranje javnopravnih tijela i stranaka (zapisnici i pozivi)</w:t>
      </w:r>
    </w:p>
    <w:p w14:paraId="43C6954D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2. Komuniciranje javnopravnih tijela i stranaka (podnesci i dostava)</w:t>
      </w:r>
    </w:p>
    <w:p w14:paraId="41A2F3B6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3. Priznavanje prava za pomoć u prehrani</w:t>
      </w:r>
    </w:p>
    <w:p w14:paraId="294B24B2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4. Potpora za ogrjev</w:t>
      </w:r>
    </w:p>
    <w:p w14:paraId="58DBB211">
      <w:pPr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>5. Ovršni postupak</w:t>
      </w:r>
    </w:p>
    <w:p w14:paraId="46B64A16">
      <w:pPr>
        <w:jc w:val="both"/>
        <w:rPr>
          <w:rFonts w:ascii="Calibri" w:hAnsi="Calibri" w:cs="Calibri"/>
          <w:sz w:val="28"/>
          <w:szCs w:val="28"/>
          <w:lang w:val="hr-HR"/>
        </w:rPr>
      </w:pPr>
    </w:p>
    <w:p w14:paraId="570EDD14">
      <w:pPr>
        <w:tabs>
          <w:tab w:val="left" w:pos="5955"/>
        </w:tabs>
        <w:jc w:val="both"/>
        <w:rPr>
          <w:rFonts w:ascii="Calibri" w:hAnsi="Calibri" w:cs="Calibri"/>
          <w:sz w:val="28"/>
          <w:szCs w:val="28"/>
          <w:lang w:val="hr-HR"/>
        </w:rPr>
      </w:pPr>
      <w:r>
        <w:rPr>
          <w:rFonts w:ascii="Calibri" w:hAnsi="Calibri" w:cs="Calibri"/>
          <w:sz w:val="28"/>
          <w:szCs w:val="28"/>
          <w:lang w:val="hr-HR"/>
        </w:rPr>
        <w:tab/>
      </w:r>
    </w:p>
    <w:p w14:paraId="10A00439">
      <w:pPr>
        <w:tabs>
          <w:tab w:val="left" w:pos="5955"/>
        </w:tabs>
        <w:jc w:val="both"/>
        <w:rPr>
          <w:rFonts w:ascii="Calibri" w:hAnsi="Calibri" w:cs="Calibri"/>
          <w:sz w:val="28"/>
          <w:szCs w:val="28"/>
          <w:lang w:val="hr-HR"/>
        </w:rPr>
      </w:pPr>
    </w:p>
    <w:p w14:paraId="3FB3E593">
      <w:pPr>
        <w:jc w:val="both"/>
        <w:rPr>
          <w:rFonts w:ascii="Calibri" w:hAnsi="Calibri" w:cs="Calibri"/>
          <w:sz w:val="28"/>
          <w:szCs w:val="28"/>
          <w:lang w:val="hr-HR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42AE0"/>
    <w:multiLevelType w:val="multilevel"/>
    <w:tmpl w:val="04A42AE0"/>
    <w:lvl w:ilvl="0" w:tentative="0">
      <w:start w:val="1"/>
      <w:numFmt w:val="decimal"/>
      <w:lvlText w:val="3.%1."/>
      <w:lvlJc w:val="left"/>
      <w:pPr>
        <w:ind w:left="5676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6396" w:hanging="360"/>
      </w:pPr>
    </w:lvl>
    <w:lvl w:ilvl="2" w:tentative="0">
      <w:start w:val="1"/>
      <w:numFmt w:val="lowerRoman"/>
      <w:lvlText w:val="%3."/>
      <w:lvlJc w:val="right"/>
      <w:pPr>
        <w:ind w:left="7116" w:hanging="180"/>
      </w:pPr>
    </w:lvl>
    <w:lvl w:ilvl="3" w:tentative="0">
      <w:start w:val="1"/>
      <w:numFmt w:val="decimal"/>
      <w:lvlText w:val="%4."/>
      <w:lvlJc w:val="left"/>
      <w:pPr>
        <w:ind w:left="7836" w:hanging="360"/>
      </w:pPr>
    </w:lvl>
    <w:lvl w:ilvl="4" w:tentative="0">
      <w:start w:val="1"/>
      <w:numFmt w:val="lowerLetter"/>
      <w:lvlText w:val="%5."/>
      <w:lvlJc w:val="left"/>
      <w:pPr>
        <w:ind w:left="8556" w:hanging="360"/>
      </w:pPr>
    </w:lvl>
    <w:lvl w:ilvl="5" w:tentative="0">
      <w:start w:val="1"/>
      <w:numFmt w:val="lowerRoman"/>
      <w:lvlText w:val="%6."/>
      <w:lvlJc w:val="right"/>
      <w:pPr>
        <w:ind w:left="9276" w:hanging="180"/>
      </w:pPr>
    </w:lvl>
    <w:lvl w:ilvl="6" w:tentative="0">
      <w:start w:val="1"/>
      <w:numFmt w:val="decimal"/>
      <w:lvlText w:val="%7."/>
      <w:lvlJc w:val="left"/>
      <w:pPr>
        <w:ind w:left="9996" w:hanging="360"/>
      </w:pPr>
    </w:lvl>
    <w:lvl w:ilvl="7" w:tentative="0">
      <w:start w:val="1"/>
      <w:numFmt w:val="lowerLetter"/>
      <w:lvlText w:val="%8."/>
      <w:lvlJc w:val="left"/>
      <w:pPr>
        <w:ind w:left="10716" w:hanging="360"/>
      </w:pPr>
    </w:lvl>
    <w:lvl w:ilvl="8" w:tentative="0">
      <w:start w:val="1"/>
      <w:numFmt w:val="lowerRoman"/>
      <w:lvlText w:val="%9."/>
      <w:lvlJc w:val="right"/>
      <w:pPr>
        <w:ind w:left="11436" w:hanging="180"/>
      </w:pPr>
    </w:lvl>
  </w:abstractNum>
  <w:abstractNum w:abstractNumId="1">
    <w:nsid w:val="06FC2CDC"/>
    <w:multiLevelType w:val="multilevel"/>
    <w:tmpl w:val="06FC2CD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decimal"/>
      <w:lvlText w:val="2.%2"/>
      <w:lvlJc w:val="left"/>
      <w:pPr>
        <w:ind w:left="108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5DA262B5"/>
    <w:multiLevelType w:val="multilevel"/>
    <w:tmpl w:val="5DA262B5"/>
    <w:lvl w:ilvl="0" w:tentative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45"/>
    <w:rsid w:val="00003EA6"/>
    <w:rsid w:val="000312DF"/>
    <w:rsid w:val="000670E1"/>
    <w:rsid w:val="000D2914"/>
    <w:rsid w:val="001B191A"/>
    <w:rsid w:val="001B5405"/>
    <w:rsid w:val="00212301"/>
    <w:rsid w:val="002476BD"/>
    <w:rsid w:val="00261D43"/>
    <w:rsid w:val="002E73AE"/>
    <w:rsid w:val="00380B7C"/>
    <w:rsid w:val="003D4E41"/>
    <w:rsid w:val="003E4EBC"/>
    <w:rsid w:val="004819F5"/>
    <w:rsid w:val="004C61C4"/>
    <w:rsid w:val="0051063C"/>
    <w:rsid w:val="00515D5B"/>
    <w:rsid w:val="005358D4"/>
    <w:rsid w:val="00571ACE"/>
    <w:rsid w:val="00574AD4"/>
    <w:rsid w:val="00587FE6"/>
    <w:rsid w:val="005B2ABB"/>
    <w:rsid w:val="005C4169"/>
    <w:rsid w:val="005C5E8A"/>
    <w:rsid w:val="005D4336"/>
    <w:rsid w:val="00632315"/>
    <w:rsid w:val="006526DD"/>
    <w:rsid w:val="006722C1"/>
    <w:rsid w:val="006D6945"/>
    <w:rsid w:val="006F3C7F"/>
    <w:rsid w:val="00775603"/>
    <w:rsid w:val="00941276"/>
    <w:rsid w:val="009C627A"/>
    <w:rsid w:val="009D6952"/>
    <w:rsid w:val="00A163D8"/>
    <w:rsid w:val="00A31933"/>
    <w:rsid w:val="00A40658"/>
    <w:rsid w:val="00A4649C"/>
    <w:rsid w:val="00B82533"/>
    <w:rsid w:val="00BE269B"/>
    <w:rsid w:val="00BF6DB1"/>
    <w:rsid w:val="00CB489C"/>
    <w:rsid w:val="00CD0899"/>
    <w:rsid w:val="00CE56C6"/>
    <w:rsid w:val="00D0530D"/>
    <w:rsid w:val="00E13D0F"/>
    <w:rsid w:val="00E3625D"/>
    <w:rsid w:val="00EC2FC4"/>
    <w:rsid w:val="00EC5358"/>
    <w:rsid w:val="00ED4194"/>
    <w:rsid w:val="00ED6DD6"/>
    <w:rsid w:val="00F13148"/>
    <w:rsid w:val="00F53438"/>
    <w:rsid w:val="00FB5C0F"/>
    <w:rsid w:val="00FB7486"/>
    <w:rsid w:val="010D2269"/>
    <w:rsid w:val="1BBB420C"/>
    <w:rsid w:val="2F45269A"/>
    <w:rsid w:val="48ED6219"/>
    <w:rsid w:val="55F8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link w:val="4"/>
    <w:semiHidden/>
    <w:qFormat/>
    <w:uiPriority w:val="99"/>
    <w:rPr>
      <w:rFonts w:ascii="Tahoma" w:hAnsi="Tahoma" w:eastAsia="Times New Roman" w:cs="Tahoma"/>
      <w:sz w:val="16"/>
      <w:szCs w:val="16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96B9B-8CC3-4C77-A8C4-B9D89A2B53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659</Words>
  <Characters>4019</Characters>
  <Lines>33</Lines>
  <Paragraphs>9</Paragraphs>
  <TotalTime>1</TotalTime>
  <ScaleCrop>false</ScaleCrop>
  <LinksUpToDate>false</LinksUpToDate>
  <CharactersWithSpaces>4592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2025-10-09T18:47:00Z</dcterms:created>
  <dc:creator>Ljerka</dc:creator>
  <cp:lastModifiedBy>Dunja Novak</cp:lastModifiedBy>
  <cp:lastPrinted>2022-10-10T08:11:00Z</cp:lastPrinted>
  <dcterms:modified xsi:type="dcterms:W3CDTF">2026-10-18T15:12:57Z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eyJoZGlkIjoiMDIyYjU2ODQ3Mzc3ZmM5Y2Q0Mjk2Y2UwYWFkMzNkMDYiLCJ1c2VySWQiOiIxMDAzMzA0NTEzMjA3MSJ9</vt:lpwstr>
  </property>
  <property fmtid="{D5CDD505-2E9C-101B-9397-08002B2CF9AE}" pid="3" name="KSOProductBuildVer">
    <vt:lpwstr>1033-12.1.0.29162</vt:lpwstr>
  </property>
  <property fmtid="{D5CDD505-2E9C-101B-9397-08002B2CF9AE}" pid="4" name="ICV">
    <vt:lpwstr>0E780FFD8BC54616B71E6ECC47F42B1B_12</vt:lpwstr>
  </property>
</Properties>
</file>